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82" w:firstLineChars="200"/>
        <w:jc w:val="left"/>
        <w:rPr>
          <w:rFonts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</w:rPr>
        <w:t>舞阳县环保局于20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>20</w:t>
      </w:r>
      <w:r>
        <w:rPr>
          <w:rFonts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</w:rPr>
        <w:t>年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>9</w:t>
      </w:r>
      <w:r>
        <w:rPr>
          <w:rFonts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</w:rPr>
        <w:t>月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>16</w:t>
      </w:r>
      <w:r>
        <w:rPr>
          <w:rFonts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</w:rPr>
        <w:t>日受理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舞阳中联建材有限公司年产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120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万立方混凝土搅拌站升级改造项目</w:t>
      </w:r>
      <w:r>
        <w:rPr>
          <w:rFonts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</w:rPr>
        <w:t>文件，现公告有关环评信息，接受社会监督。受项目影响的公众可在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>3</w:t>
      </w:r>
      <w:r>
        <w:rPr>
          <w:rFonts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u w:val="none"/>
        </w:rPr>
        <w:t>个工作日内以书面形式向我局反映，反馈意见电话：0395-7121061。</w:t>
      </w:r>
    </w:p>
    <w:tbl>
      <w:tblPr>
        <w:tblStyle w:val="4"/>
        <w:tblW w:w="1396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0"/>
        <w:gridCol w:w="779"/>
        <w:gridCol w:w="405"/>
        <w:gridCol w:w="614"/>
        <w:gridCol w:w="599"/>
        <w:gridCol w:w="2128"/>
        <w:gridCol w:w="8075"/>
        <w:gridCol w:w="106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  <w:r>
              <w:rPr>
                <w:rFonts w:ascii="&amp;quot" w:hAnsi="&amp;quot" w:eastAsia="&amp;quot" w:cs="&amp;quot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环评</w:t>
            </w: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环评</w:t>
            </w: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建设</w:t>
            </w: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地点</w:t>
            </w: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建设项目</w:t>
            </w: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概况</w:t>
            </w: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主要环境影响及预防或减轻不良环境影响的对策和措施</w:t>
            </w: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公众参与</w:t>
            </w: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舞阳中联建材有限公司年产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120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万立方混凝土搅拌站升级改造项目</w:t>
            </w: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报告表</w:t>
            </w: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河南清柏环保科技有限公司</w:t>
            </w:r>
          </w:p>
        </w:tc>
        <w:tc>
          <w:tcPr>
            <w:tcW w:w="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舞阳县舞泉镇珠海路南段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color w:val="auto"/>
              </w:rPr>
            </w:pP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本项目为舞阳中联建材有限公司投资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10700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万元在舞阳县舞泉镇珠海路南段建设 的年产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120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万立方混凝土搅拌站升级改造项目，项目占地面积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25350m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，建筑面积为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25000m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，建成后产能不变，仍为年产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120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万立方米混凝土。项目拟新增职工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5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人，年工作日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300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天。 </w:t>
            </w:r>
          </w:p>
          <w:bookmarkEnd w:id="0"/>
          <w:p>
            <w:pPr>
              <w:spacing w:line="360" w:lineRule="auto"/>
              <w:ind w:firstLine="420" w:firstLineChars="200"/>
              <w:jc w:val="both"/>
              <w:rPr>
                <w:rFonts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color w:val="auto"/>
              </w:rPr>
            </w:pPr>
          </w:p>
        </w:tc>
        <w:tc>
          <w:tcPr>
            <w:tcW w:w="80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）废气：本项目大气污染物主要是运输车辆动力起尘、原料库扬尘、破碎和 筛分工序粉尘、皮带输送粉尘、粉料运输车放空口产生的粉尘、砂石料料仓下料口粉 尘、搅拌机下料粉尘和粉料筒仓呼吸孔粉尘。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本项目各工序产生的无组织粉尘经评价推荐的降尘措施治理后，厂界处颗粒物浓 度可以满足《水泥工业大气污染物排放标准》（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GB4915-2013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）表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3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的要求；项目搅 拌机下料粉尘、破碎及筛分工序粉尘、砂石料料仓下料口粉尘和粉料筒仓呼吸孔粉尘 经脉冲除尘器处理后，粉尘排放浓度可以满足《水泥工业大气污染物排放标准》 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GB4915-2013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）表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中水泥制品生产的颗粒物浓度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20mg/m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的要求。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）废水：本项目营运期废水主要为职工办公生活废水和车辆、设备清洗废水。 职工办公生活废水排放量为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0.2m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/d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60m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/a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，经厂区化粪池处理后，主要污染物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COD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、 氨氮、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SS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的排放浓度及排放量分别为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COD125mg/L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0.0075t/a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，氨氮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25mg/L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0.0015t/a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，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SS80mg/L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0.0048t/a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。本项目污水经化粪池处理后污水出水水质满足《污水综合排放 标准》表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4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二级标准及舞阳县产业集聚区污水处理厂的进水水质要求，处理后的污水 通过市政管网进入舞阳县产业集聚区污水处理厂进行深度处理，对周围水环境影响较 小；车辆、设备冲洗水用量为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1.9m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/d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570m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/a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，这部分废水先经砂石分离机处理后 废水排入沉淀池沉淀后循环使用，不外排。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）固废：本项目固体废物主要为清洗废水沉淀物、脉冲除尘器收集的粉尘、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实验室废渣和职工办公生活垃圾等固体废物。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清洗废水沉淀物：本项目搅拌机和混凝土运输车在卸料时均会有少量混凝土残留 其中，在对其进行清洗时，会随着清洗水一起排入沉淀池内，产生量约为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9.45t/a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，这 些工艺固废收集后回用于生产； 脉冲除尘器收集的粉尘：本项目筒仓除尘器收集的粉尘量为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380.94t/a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，搅拌机除 尘器收集的粉尘量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3.627t/a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，合计约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851.256t/a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，粉尘收集后均回用于生产； 实验室废渣：本项目实验室主要是用于测定混凝土各物质含量，均用物理方法， 测定后废渣产生量约为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0.02t/a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，经收集后回用于生产； 职工办公生活垃圾：职工办公生活垃圾产生量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0.375t/a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，经收集后送往生活垃圾 处理场统一处理。 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综上所述，本项目固体废物处置率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％，对周围环境影响不大。（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）噪声：本项目噪声主要为搅拌机、传送带、风机和运输车辆等产生的机械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噪声，噪声源强约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75~80dB(A)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，拟建工程对噪声源采取的降噪措施主要有：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①选用同类设备中的低噪声设备，同时对高噪强振设备安装减振装置；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②搅拌机、传送带等设备加强保养；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③优化厂区平面布置图，将较大声源布置在远离敏感目标处；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④汽车进出厂时减速，严禁鸣笛，装卸货物时轻拿轻放，同时防止货物与地面或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其他硬件碰撞。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经采取上述防治措施以及距离衰减后，厂界噪声符合《工业企业厂界环境噪声排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放标准》（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GB12348-2008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3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类标准要求，因此项目噪声对周边环境的影响较小。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/>
              <w:jc w:val="left"/>
              <w:rPr>
                <w:color w:val="auto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&amp;quot" w:hAnsi="&amp;quot" w:eastAsia="宋体" w:cs="&amp;quot"/>
                <w:b/>
                <w:i w:val="0"/>
                <w:caps w:val="0"/>
                <w:color w:val="auto"/>
                <w:spacing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&amp;quot" w:hAnsi="&amp;quot" w:eastAsia="宋体" w:cs="&amp;quot"/>
                <w:b/>
                <w:i w:val="0"/>
                <w:caps w:val="0"/>
                <w:color w:val="auto"/>
                <w:spacing w:val="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</w:tr>
    </w:tbl>
    <w:p>
      <w:pPr>
        <w:pStyle w:val="2"/>
      </w:pP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323491"/>
    <w:rsid w:val="05BD3B11"/>
    <w:rsid w:val="0D992ACA"/>
    <w:rsid w:val="1AC14668"/>
    <w:rsid w:val="204F4229"/>
    <w:rsid w:val="20F923C9"/>
    <w:rsid w:val="453E388A"/>
    <w:rsid w:val="4A663CDD"/>
    <w:rsid w:val="4D806C28"/>
    <w:rsid w:val="520C5702"/>
    <w:rsid w:val="53544D72"/>
    <w:rsid w:val="65323491"/>
    <w:rsid w:val="71F4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spacing w:after="120"/>
      <w:ind w:left="420" w:leftChars="200" w:firstLine="420"/>
    </w:pPr>
    <w:rPr>
      <w:rFonts w:ascii="Times New Roman" w:hAnsi="Times New Roman" w:eastAsia="宋体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6">
    <w:name w:val="宗兴正文"/>
    <w:basedOn w:val="1"/>
    <w:qFormat/>
    <w:uiPriority w:val="0"/>
    <w:pPr>
      <w:widowControl w:val="0"/>
      <w:spacing w:line="360" w:lineRule="auto"/>
      <w:ind w:firstLine="480" w:firstLineChars="200"/>
    </w:pPr>
    <w:rPr>
      <w:rFonts w:eastAsia="宋体"/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2019-11-21T01:38:00Z</dcterms:created>
  <dc:creator>l54268426</dc:creator>
  <cp:lastModifiedBy>闫姝妺</cp:lastModifiedBy>
  <dcterms:modified xsi:type="dcterms:W3CDTF">2020-09-16T01:57:07Z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